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/>
            </w:r>
          </w:p>
        </w:tc>
        <w:tc>
          <w:tcPr/>
          <w:p>
            <w:pPr/>
            <w:r>
              <w:pict>
                <v:shape type="#_x0000_t75" stroked="f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Bibliography</w:t>
            </w:r>
          </w:p>
        </w:tc>
        <w:tc>
          <w:tcPr>
            <w:gridSpan w:val="1"/>
          </w:tcPr>
          <w:p>
            <w:pPr/>
            <w:r>
              <w:rPr/>
              <w:t xml:space="preserve">NARI (2016) Making pineapple jam, NARI Toktok (BUB024), 7 pages, National Agricultural Research Institute, Lae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Abstract / Content summary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Files</w:t>
            </w:r>
          </w:p>
        </w:tc>
        <w:tc>
          <w:tcPr/>
          <w:p/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 info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External web link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Library Locations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Associated conference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identifier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bidiVisual w:val="0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2024-05-04T02:57:00+00:00</dcterms:created>
  <dcterms:modified xsi:type="dcterms:W3CDTF">2024-05-04T02:57:00+00:00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