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/>
            </w:r>
          </w:p>
        </w:tc>
        <w:tc>
          <w:tcPr/>
          <w:p>
            <w:pPr/>
            <w:r>
              <w:pict>
                <v:shape type="#_x0000_t75" stroked="f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Bibliography</w:t>
            </w:r>
          </w:p>
        </w:tc>
        <w:tc>
          <w:tcPr>
            <w:gridSpan w:val="1"/>
          </w:tcPr>
          <w:p>
            <w:pPr/>
            <w:r>
              <w:rPr/>
              <w:t xml:space="preserve">NARI (2018) Best practice note for taro farmers, NARI Toktok (BUB026), 7 pages, National Agricultural Research Institute, Lae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Abstract / Content summary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Files</w:t>
            </w:r>
          </w:p>
        </w:tc>
        <w:tc>
          <w:tcPr/>
          <w:p/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File info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External web link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Library Locations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Associated conference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identifier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phpWord">
    <w:name w:val="phpWord"/>
    <w:uiPriority w:val="99"/>
    <w:tblPr>
      <w:tblW w:w="0" w:type="auto"/>
      <w:tblLayout w:type="autofit"/>
      <w:bidiVisual w:val="0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2024-05-02T12:48:58+00:00</dcterms:created>
  <dcterms:modified xsi:type="dcterms:W3CDTF">2024-05-02T12:48:58+00:00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