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/>
            </w:r>
          </w:p>
        </w:tc>
        <w:tc>
          <w:tcPr/>
          <w:p>
            <w:pPr/>
            <w:r>
              <w:pict>
                <v:shape type="#_x0000_t75" stroked="f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Bibliography</w:t>
            </w:r>
          </w:p>
        </w:tc>
        <w:tc>
          <w:tcPr>
            <w:gridSpan w:val="1"/>
          </w:tcPr>
          <w:p>
            <w:pPr/>
            <w:r>
              <w:rPr/>
              <w:t xml:space="preserve">NARI (2018) Best management practice for cassava, NARI Toktok (BUB028), 7 pages, National Agricultural Research Institute, Lae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Abstract / Content summary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Files</w:t>
            </w:r>
          </w:p>
        </w:tc>
        <w:tc>
          <w:tcPr/>
          <w:p/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 info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External web link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Library Locations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Associated conference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identifier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bidiVisual w:val="0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2024-04-28T08:28:57+00:00</dcterms:created>
  <dcterms:modified xsi:type="dcterms:W3CDTF">2024-04-28T08:28:57+00:00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