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pfileid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Folder</w:t>
            </w:r>
          </w:p>
        </w:tc>
        <w:tc>
          <w:tcPr>
            <w:gridSpan w:val="1"/>
          </w:tcPr>
          <w:p>
            <w:pPr/>
            <w:r>
              <w:rPr/>
              <w:t xml:space="preserve">Doc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</w:t>
            </w:r>
          </w:p>
        </w:tc>
        <w:tc>
          <w:tcPr>
            <w:gridSpan w:val="1"/>
          </w:tcPr>
          <w:p>
            <w:pPr/>
            <w:r>
              <w:rPr/>
              <w:t xml:space="preserve">Trip 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Behavioural response of galip weevil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 projectname</w:t>
            </w:r>
          </w:p>
        </w:tc>
        <w:tc>
          <w:tcPr>
            <w:gridSpan w:val="1"/>
          </w:tcPr>
          <w:p>
            <w:pPr/>
            <w:r>
              <w:rPr/>
              <w:t xml:space="preserve">Behavioural response of galip weevil to host-plant volatiles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2025-04-04T15:14:20+00:00</dcterms:created>
  <dcterms:modified xsi:type="dcterms:W3CDTF">2025-04-04T15:14:20+00:00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