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pfileid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Folder</w:t>
            </w:r>
          </w:p>
        </w:tc>
        <w:tc>
          <w:tcPr>
            <w:gridSpan w:val="1"/>
          </w:tcPr>
          <w:p>
            <w:pPr/>
            <w:r>
              <w:rPr/>
              <w:t xml:space="preserve">Doc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</w:t>
            </w:r>
          </w:p>
        </w:tc>
        <w:tc>
          <w:tcPr>
            <w:gridSpan w:val="1"/>
          </w:tcPr>
          <w:p>
            <w:pPr/>
            <w:r>
              <w:rPr/>
              <w:t xml:space="preserve">Progress 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Fertiliser assessment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 projectname</w:t>
            </w:r>
          </w:p>
        </w:tc>
        <w:tc>
          <w:tcPr>
            <w:gridSpan w:val="1"/>
          </w:tcPr>
          <w:p>
            <w:pPr/>
            <w:r>
              <w:rPr/>
              <w:t xml:space="preserve">Assessing the effectiveness of Grow Hariap Foliar Fertilizer (GHFF) in managing crop productivity relative to conventional fertiliser practices.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2025-04-11T17:34:34+00:00</dcterms:created>
  <dcterms:modified xsi:type="dcterms:W3CDTF">2025-04-11T17:34:34+00:00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