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Chicken ascites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Strategies to alleviate ascites in broiler chicken production in the high-altitude areas of Papua New Guinea (PNG).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>Output 1: Milestone 1: Development of survey questionnaire; draft questionnaire developed and circulated to peers for feedback – milestone 100 % completed in March 2023. • Milestone 2: Baseline information on prevalence and severity of ascites under high-altitude farming conditions available – milestone pending broiler farmer survey.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>Output 2: Cost-effective options for managing ascites under high-altitude farming conditions established - trial work completed and draft technical progress report submitted;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Output 1, Milestone 2: Baseline information on prevalence and severity of ascites under high-altitude farming conditions available – milestone in progress. Farmer surveys carried out in parts of Simbu and Jiwaka; other provinces pending.
Output 3. Information on managing ascites incidences in broilers under high-altitude farming conditions available.
1 Draft Technical Progress report (Output 2); other publications pending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2025-04-03T22:02:35+00:00</dcterms:created>
  <dcterms:modified xsi:type="dcterms:W3CDTF">2025-04-03T22:02:35+00:00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